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160" w:after="0" w:afterLines="0" w:line="560" w:lineRule="exact"/>
        <w:ind w:firstLine="0" w:firstLineChars="0"/>
        <w:jc w:val="center"/>
        <w:rPr>
          <w:rFonts w:hint="eastAsia" w:ascii="方正公文小标宋" w:hAnsi="方正公文小标宋" w:eastAsia="方正公文小标宋" w:cs="方正公文小标宋"/>
          <w:sz w:val="44"/>
          <w:szCs w:val="44"/>
          <w:shd w:val="clear"/>
        </w:rPr>
      </w:pPr>
      <w:bookmarkStart w:id="0" w:name="_GoBack"/>
      <w:bookmarkEnd w:id="0"/>
      <w:r>
        <w:rPr>
          <w:rFonts w:hint="eastAsia" w:ascii="方正公文小标宋" w:hAnsi="方正公文小标宋" w:eastAsia="方正公文小标宋" w:cs="方正公文小标宋"/>
          <w:color w:val="0F1115"/>
          <w:sz w:val="44"/>
          <w:szCs w:val="44"/>
          <w:shd w:val="clear" w:color="auto" w:fill="FFFFFF"/>
          <w:lang w:eastAsia="zh-CN"/>
        </w:rPr>
        <w:t>贵阳银行</w:t>
      </w:r>
      <w:r>
        <w:rPr>
          <w:rFonts w:hint="eastAsia" w:ascii="方正公文小标宋" w:hAnsi="方正公文小标宋" w:eastAsia="方正公文小标宋" w:cs="方正公文小标宋"/>
          <w:color w:val="0F1115"/>
          <w:sz w:val="44"/>
          <w:szCs w:val="44"/>
          <w:shd w:val="clear" w:color="auto" w:fill="FFFFFF"/>
        </w:rPr>
        <w:t>个人贷款正常履约年化综合融资成本</w:t>
      </w:r>
    </w:p>
    <w:p>
      <w:pPr>
        <w:widowControl/>
        <w:shd w:val="clear" w:color="auto" w:fill="FFFFFF"/>
        <w:spacing w:before="160" w:after="0" w:afterLines="0" w:line="560" w:lineRule="exact"/>
        <w:ind w:firstLine="0" w:firstLineChars="0"/>
        <w:jc w:val="center"/>
        <w:rPr>
          <w:rFonts w:hint="eastAsia" w:ascii="方正公文小标宋" w:hAnsi="方正公文小标宋" w:eastAsia="方正公文小标宋" w:cs="方正公文小标宋"/>
          <w:color w:val="0F1115"/>
          <w:sz w:val="44"/>
          <w:szCs w:val="44"/>
          <w:shd w:val="clear" w:color="auto" w:fill="FFFFFF"/>
        </w:rPr>
      </w:pPr>
      <w:r>
        <w:rPr>
          <w:rFonts w:hint="eastAsia" w:ascii="方正公文小标宋" w:hAnsi="方正公文小标宋" w:eastAsia="方正公文小标宋" w:cs="方正公文小标宋"/>
          <w:color w:val="0F1115"/>
          <w:sz w:val="44"/>
          <w:szCs w:val="44"/>
          <w:shd w:val="clear" w:color="auto" w:fill="FFFFFF"/>
        </w:rPr>
        <w:t>上限公示</w:t>
      </w:r>
    </w:p>
    <w:p>
      <w:pPr>
        <w:pStyle w:val="15"/>
        <w:widowControl/>
        <w:shd w:val="clear" w:color="auto" w:fill="FFFFFF"/>
        <w:spacing w:before="160" w:after="0" w:afterLines="0" w:line="560" w:lineRule="exact"/>
        <w:ind w:firstLine="640" w:firstLineChars="200"/>
        <w:jc w:val="both"/>
        <w:rPr>
          <w:rFonts w:ascii="仿宋_GB2312" w:hAnsi="仿宋_GB2312" w:eastAsia="仿宋_GB2312" w:cs="仿宋_GB2312"/>
          <w:color w:val="0F1115"/>
          <w:sz w:val="32"/>
          <w:szCs w:val="32"/>
          <w:shd w:val="clear" w:color="auto" w:fill="FFFFFF"/>
        </w:rPr>
      </w:pPr>
      <w:r>
        <w:rPr>
          <w:rFonts w:hint="eastAsia" w:ascii="仿宋_GB2312" w:hAnsi="仿宋_GB2312" w:eastAsia="仿宋_GB2312" w:cs="仿宋_GB2312"/>
          <w:color w:val="0F1115"/>
          <w:sz w:val="32"/>
          <w:szCs w:val="32"/>
          <w:shd w:val="clear" w:color="auto" w:fill="FFFFFF"/>
        </w:rPr>
        <w:t>为切实保护金融消费者合法权益，提升金融服务质效，根据《个人贷款业务明示综合融资成本规定》（金规〔2026〕2号）等相关要求，本机构现就正常履约情形下的个人贷款综合融资成本上限相关事项公示如下：</w:t>
      </w:r>
    </w:p>
    <w:p>
      <w:pPr>
        <w:pStyle w:val="15"/>
        <w:widowControl/>
        <w:shd w:val="clear" w:color="auto" w:fill="FFFFFF"/>
        <w:spacing w:before="160" w:after="0" w:afterLines="0" w:line="560" w:lineRule="exact"/>
        <w:ind w:firstLine="640" w:firstLineChars="200"/>
        <w:jc w:val="both"/>
        <w:rPr>
          <w:rFonts w:hint="eastAsia" w:ascii="仿宋_GB2312" w:hAnsi="仿宋_GB2312" w:eastAsia="仿宋_GB2312" w:cs="仿宋_GB2312"/>
          <w:color w:val="0F1115"/>
          <w:sz w:val="32"/>
          <w:szCs w:val="32"/>
          <w:shd w:val="clear" w:color="auto" w:fill="FFFFFF"/>
        </w:rPr>
      </w:pPr>
      <w:r>
        <w:rPr>
          <w:rFonts w:hint="eastAsia" w:ascii="仿宋_GB2312" w:hAnsi="仿宋_GB2312" w:eastAsia="仿宋_GB2312" w:cs="仿宋_GB2312"/>
          <w:color w:val="0F1115"/>
          <w:sz w:val="32"/>
          <w:szCs w:val="32"/>
          <w:shd w:val="clear" w:color="auto" w:fill="FFFFFF"/>
        </w:rPr>
        <w:t>本机构发放的个人贷款实行差异化定价。正常履约情形下的个人贷款综合融资成本各息费项目均按中国人民银行有关规定折算为年化水平，且其加总水平不超过国家规定上限。本机构收取</w:t>
      </w:r>
      <w:r>
        <w:rPr>
          <w:rFonts w:hint="eastAsia" w:ascii="仿宋_GB2312" w:hAnsi="仿宋_GB2312" w:eastAsia="仿宋_GB2312" w:cs="仿宋_GB2312"/>
          <w:color w:val="0F1115"/>
          <w:sz w:val="32"/>
          <w:szCs w:val="32"/>
          <w:shd w:val="clear" w:color="auto" w:fill="FFFFFF"/>
          <w:lang w:eastAsia="zh-CN"/>
        </w:rPr>
        <w:t>的个人</w:t>
      </w:r>
      <w:r>
        <w:rPr>
          <w:rFonts w:hint="eastAsia" w:ascii="仿宋_GB2312" w:hAnsi="仿宋_GB2312" w:eastAsia="仿宋_GB2312" w:cs="仿宋_GB2312"/>
          <w:color w:val="0F1115"/>
          <w:sz w:val="32"/>
          <w:szCs w:val="32"/>
          <w:shd w:val="clear" w:color="auto" w:fill="FFFFFF"/>
        </w:rPr>
        <w:t>贷款</w:t>
      </w:r>
      <w:r>
        <w:rPr>
          <w:rFonts w:hint="eastAsia" w:ascii="仿宋_GB2312" w:hAnsi="仿宋_GB2312" w:eastAsia="仿宋_GB2312" w:cs="仿宋_GB2312"/>
          <w:color w:val="0F1115"/>
          <w:sz w:val="32"/>
          <w:szCs w:val="32"/>
          <w:shd w:val="clear" w:color="auto" w:fill="FFFFFF"/>
          <w:lang w:eastAsia="zh-CN"/>
        </w:rPr>
        <w:t>（包含个人经营性贷款、个人消费贷款和个人住房按揭贷款，</w:t>
      </w:r>
      <w:r>
        <w:rPr>
          <w:rFonts w:hint="eastAsia" w:ascii="仿宋_GB2312" w:hAnsi="仿宋_GB2312" w:eastAsia="仿宋_GB2312" w:cs="仿宋_GB2312"/>
          <w:color w:val="0F1115"/>
          <w:sz w:val="32"/>
          <w:szCs w:val="32"/>
          <w:shd w:val="clear" w:color="auto" w:fill="FFFFFF"/>
        </w:rPr>
        <w:t>不含信用卡贷款</w:t>
      </w:r>
      <w:r>
        <w:rPr>
          <w:rFonts w:hint="eastAsia" w:ascii="仿宋_GB2312" w:hAnsi="仿宋_GB2312" w:eastAsia="仿宋_GB2312" w:cs="仿宋_GB2312"/>
          <w:color w:val="0F1115"/>
          <w:sz w:val="32"/>
          <w:szCs w:val="32"/>
          <w:shd w:val="clear" w:color="auto" w:fill="FFFFFF"/>
          <w:lang w:eastAsia="zh-CN"/>
        </w:rPr>
        <w:t>）</w:t>
      </w:r>
      <w:r>
        <w:rPr>
          <w:rFonts w:hint="eastAsia" w:ascii="仿宋_GB2312" w:hAnsi="仿宋_GB2312" w:eastAsia="仿宋_GB2312" w:cs="仿宋_GB2312"/>
          <w:color w:val="0F1115"/>
          <w:sz w:val="32"/>
          <w:szCs w:val="32"/>
          <w:shd w:val="clear" w:color="auto" w:fill="FFFFFF"/>
        </w:rPr>
        <w:t>利息年化水平上限</w:t>
      </w:r>
      <w:r>
        <w:rPr>
          <w:rFonts w:hint="eastAsia" w:ascii="仿宋_GB2312" w:hAnsi="仿宋_GB2312" w:eastAsia="仿宋_GB2312" w:cs="仿宋_GB2312"/>
          <w:color w:val="0F1115"/>
          <w:sz w:val="32"/>
          <w:szCs w:val="32"/>
          <w:shd w:val="clear" w:color="auto" w:fill="FFFFFF"/>
          <w:lang w:eastAsia="zh-CN"/>
        </w:rPr>
        <w:t>为不超过</w:t>
      </w:r>
      <w:r>
        <w:rPr>
          <w:rFonts w:hint="eastAsia" w:ascii="仿宋_GB2312" w:hAnsi="仿宋_GB2312" w:eastAsia="仿宋_GB2312" w:cs="仿宋_GB2312"/>
          <w:color w:val="0F1115"/>
          <w:sz w:val="32"/>
          <w:szCs w:val="32"/>
          <w:shd w:val="clear" w:color="auto" w:fill="FFFFFF"/>
          <w:lang w:val="en-US" w:eastAsia="zh-CN"/>
        </w:rPr>
        <w:t>4倍LPR。</w:t>
      </w:r>
      <w:r>
        <w:rPr>
          <w:rFonts w:hint="eastAsia" w:ascii="仿宋_GB2312" w:hAnsi="仿宋_GB2312" w:eastAsia="仿宋_GB2312" w:cs="仿宋_GB2312"/>
          <w:b/>
          <w:bCs/>
          <w:sz w:val="32"/>
          <w:szCs w:val="32"/>
          <w:lang w:val="en-US" w:eastAsia="zh-CN"/>
        </w:rPr>
        <w:t>LPR即贷款市场报价利率，以每月20日全国银行间同业拆借中心公布的贷款利率为准。</w:t>
      </w:r>
    </w:p>
    <w:p>
      <w:pPr>
        <w:pStyle w:val="15"/>
        <w:widowControl/>
        <w:shd w:val="clear" w:color="auto" w:fill="FFFFFF"/>
        <w:spacing w:before="160" w:after="0" w:afterLines="0" w:line="560" w:lineRule="exact"/>
        <w:ind w:firstLine="640" w:firstLineChars="200"/>
        <w:jc w:val="both"/>
        <w:rPr>
          <w:rFonts w:hint="eastAsia" w:ascii="仿宋_GB2312" w:hAnsi="仿宋_GB2312" w:eastAsia="仿宋_GB2312" w:cs="仿宋_GB2312"/>
          <w:color w:val="0F1115"/>
          <w:sz w:val="32"/>
          <w:szCs w:val="32"/>
          <w:shd w:val="clear" w:color="auto" w:fill="FFFFFF"/>
        </w:rPr>
      </w:pPr>
      <w:r>
        <w:rPr>
          <w:rFonts w:hint="eastAsia" w:ascii="仿宋_GB2312" w:hAnsi="仿宋_GB2312" w:eastAsia="仿宋_GB2312" w:cs="仿宋_GB2312"/>
          <w:color w:val="0F1115"/>
          <w:sz w:val="32"/>
          <w:szCs w:val="32"/>
          <w:shd w:val="clear" w:color="auto" w:fill="FFFFFF"/>
        </w:rPr>
        <w:t>本公示自202</w:t>
      </w:r>
      <w:r>
        <w:rPr>
          <w:rFonts w:hint="eastAsia" w:ascii="仿宋_GB2312" w:hAnsi="仿宋_GB2312" w:eastAsia="仿宋_GB2312" w:cs="仿宋_GB2312"/>
          <w:color w:val="0F1115"/>
          <w:sz w:val="32"/>
          <w:szCs w:val="32"/>
          <w:shd w:val="clear" w:color="auto" w:fill="FFFFFF"/>
          <w:lang w:val="en-US" w:eastAsia="zh-CN"/>
        </w:rPr>
        <w:t>6</w:t>
      </w:r>
      <w:r>
        <w:rPr>
          <w:rFonts w:hint="eastAsia" w:ascii="仿宋_GB2312" w:hAnsi="仿宋_GB2312" w:eastAsia="仿宋_GB2312" w:cs="仿宋_GB2312"/>
          <w:color w:val="0F1115"/>
          <w:sz w:val="32"/>
          <w:szCs w:val="32"/>
          <w:shd w:val="clear" w:color="auto" w:fill="FFFFFF"/>
        </w:rPr>
        <w:t>年</w:t>
      </w:r>
      <w:r>
        <w:rPr>
          <w:rFonts w:hint="eastAsia" w:ascii="仿宋_GB2312" w:hAnsi="仿宋_GB2312" w:eastAsia="仿宋_GB2312" w:cs="仿宋_GB2312"/>
          <w:color w:val="0F1115"/>
          <w:sz w:val="32"/>
          <w:szCs w:val="32"/>
          <w:shd w:val="clear" w:color="auto" w:fill="FFFFFF"/>
          <w:lang w:val="en-US" w:eastAsia="zh-CN"/>
        </w:rPr>
        <w:t>8</w:t>
      </w:r>
      <w:r>
        <w:rPr>
          <w:rFonts w:hint="eastAsia" w:ascii="仿宋_GB2312" w:hAnsi="仿宋_GB2312" w:eastAsia="仿宋_GB2312" w:cs="仿宋_GB2312"/>
          <w:color w:val="0F1115"/>
          <w:sz w:val="32"/>
          <w:szCs w:val="32"/>
          <w:shd w:val="clear" w:color="auto" w:fill="FFFFFF"/>
        </w:rPr>
        <w:t>月</w:t>
      </w:r>
      <w:r>
        <w:rPr>
          <w:rFonts w:hint="eastAsia" w:ascii="仿宋_GB2312" w:hAnsi="仿宋_GB2312" w:eastAsia="仿宋_GB2312" w:cs="仿宋_GB2312"/>
          <w:color w:val="0F1115"/>
          <w:sz w:val="32"/>
          <w:szCs w:val="32"/>
          <w:shd w:val="clear" w:color="auto" w:fill="FFFFFF"/>
          <w:lang w:val="en-US" w:eastAsia="zh-CN"/>
        </w:rPr>
        <w:t>1</w:t>
      </w:r>
      <w:r>
        <w:rPr>
          <w:rFonts w:hint="eastAsia" w:ascii="仿宋_GB2312" w:hAnsi="仿宋_GB2312" w:eastAsia="仿宋_GB2312" w:cs="仿宋_GB2312"/>
          <w:color w:val="0F1115"/>
          <w:sz w:val="32"/>
          <w:szCs w:val="32"/>
          <w:shd w:val="clear" w:color="auto" w:fill="FFFFFF"/>
        </w:rPr>
        <w:t>日起执行。相关事项发生变动的，本机构将另行公示。</w:t>
      </w:r>
    </w:p>
    <w:p>
      <w:pPr>
        <w:pStyle w:val="15"/>
        <w:widowControl/>
        <w:shd w:val="clear" w:color="auto" w:fill="FFFFFF"/>
        <w:spacing w:before="160" w:after="0" w:afterLines="0" w:line="560" w:lineRule="exact"/>
        <w:ind w:firstLine="640" w:firstLineChars="200"/>
        <w:jc w:val="both"/>
        <w:rPr>
          <w:rFonts w:hint="eastAsia" w:ascii="仿宋_GB2312" w:hAnsi="仿宋_GB2312" w:eastAsia="仿宋_GB2312" w:cs="仿宋_GB2312"/>
          <w:color w:val="0F1115"/>
          <w:sz w:val="32"/>
          <w:szCs w:val="32"/>
          <w:shd w:val="clear" w:color="auto" w:fill="FFFFFF"/>
        </w:rPr>
      </w:pPr>
    </w:p>
    <w:p>
      <w:pPr>
        <w:pStyle w:val="15"/>
        <w:widowControl/>
        <w:shd w:val="clear" w:color="auto" w:fill="FFFFFF"/>
        <w:spacing w:before="160" w:after="0" w:afterLines="0" w:line="560" w:lineRule="exact"/>
        <w:ind w:firstLine="640" w:firstLineChars="200"/>
        <w:jc w:val="both"/>
        <w:rPr>
          <w:rFonts w:hint="eastAsia" w:ascii="仿宋_GB2312" w:hAnsi="仿宋_GB2312" w:eastAsia="仿宋_GB2312" w:cs="仿宋_GB2312"/>
          <w:color w:val="0F1115"/>
          <w:sz w:val="32"/>
          <w:szCs w:val="32"/>
          <w:shd w:val="clear" w:color="auto" w:fill="FFFFFF"/>
        </w:rPr>
      </w:pPr>
    </w:p>
    <w:p>
      <w:pPr>
        <w:pStyle w:val="15"/>
        <w:widowControl/>
        <w:shd w:val="clear" w:color="auto" w:fill="FFFFFF"/>
        <w:spacing w:before="160" w:after="0" w:afterLines="0" w:line="560" w:lineRule="exact"/>
        <w:ind w:firstLine="640" w:firstLineChars="200"/>
        <w:jc w:val="both"/>
        <w:rPr>
          <w:rFonts w:hint="eastAsia" w:ascii="仿宋_GB2312" w:hAnsi="仿宋_GB2312" w:eastAsia="仿宋_GB2312" w:cs="仿宋_GB2312"/>
          <w:color w:val="0F1115"/>
          <w:sz w:val="32"/>
          <w:szCs w:val="32"/>
          <w:shd w:val="clear" w:color="auto" w:fill="FFFFFF"/>
        </w:rPr>
      </w:pPr>
    </w:p>
    <w:p>
      <w:pPr>
        <w:pStyle w:val="15"/>
        <w:widowControl/>
        <w:shd w:val="clear" w:color="auto" w:fill="FFFFFF"/>
        <w:spacing w:before="160" w:after="0" w:afterLines="0" w:line="560" w:lineRule="exact"/>
        <w:ind w:firstLine="640" w:firstLineChars="200"/>
        <w:jc w:val="both"/>
        <w:rPr>
          <w:rFonts w:hint="eastAsia" w:ascii="仿宋_GB2312" w:hAnsi="仿宋_GB2312" w:eastAsia="仿宋_GB2312" w:cs="仿宋_GB2312"/>
          <w:color w:val="0F1115"/>
          <w:sz w:val="32"/>
          <w:szCs w:val="32"/>
          <w:shd w:val="clear" w:color="auto" w:fill="FFFFFF"/>
          <w:lang w:val="en-US" w:eastAsia="zh-CN"/>
        </w:rPr>
      </w:pPr>
      <w:r>
        <w:rPr>
          <w:rFonts w:hint="eastAsia" w:ascii="仿宋_GB2312" w:hAnsi="仿宋_GB2312" w:eastAsia="仿宋_GB2312" w:cs="仿宋_GB2312"/>
          <w:color w:val="0F1115"/>
          <w:sz w:val="32"/>
          <w:szCs w:val="32"/>
          <w:shd w:val="clear" w:color="auto" w:fill="FFFFFF"/>
          <w:lang w:val="en-US" w:eastAsia="zh-CN"/>
        </w:rPr>
        <w:t xml:space="preserve">                              贵阳银行股份有限公司</w:t>
      </w:r>
    </w:p>
    <w:p>
      <w:pPr>
        <w:pStyle w:val="15"/>
        <w:widowControl/>
        <w:numPr>
          <w:ilvl w:val="-1"/>
          <w:numId w:val="0"/>
        </w:numPr>
        <w:shd w:val="clear" w:color="auto" w:fill="FFFFFF"/>
        <w:spacing w:before="160" w:after="0" w:afterLines="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color w:val="0F1115"/>
          <w:sz w:val="32"/>
          <w:szCs w:val="32"/>
          <w:shd w:val="clear" w:color="auto" w:fill="FFFFFF"/>
          <w:lang w:val="en-US" w:eastAsia="zh-CN"/>
        </w:rPr>
        <w:t xml:space="preserve">                                 2026年7月27日</w:t>
      </w:r>
    </w:p>
    <w:sectPr>
      <w:footerReference r:id="rId5" w:type="default"/>
      <w:pgSz w:w="11906" w:h="16838"/>
      <w:pgMar w:top="2098" w:right="1474" w:bottom="1984" w:left="158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方正公文小标宋">
    <w:altName w:val="宋体"/>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等线">
    <w:altName w:val="阿里巴巴普惠体 R"/>
    <w:panose1 w:val="00000000000000000000"/>
    <w:charset w:val="00"/>
    <w:family w:val="auto"/>
    <w:pitch w:val="default"/>
    <w:sig w:usb0="00000000" w:usb1="00000000" w:usb2="00000000" w:usb3="00000000" w:csb0="00000000" w:csb1="00000000"/>
  </w:font>
  <w:font w:name="阿里巴巴普惠体 R">
    <w:panose1 w:val="00020600040101010101"/>
    <w:charset w:val="86"/>
    <w:family w:val="auto"/>
    <w:pitch w:val="default"/>
    <w:sig w:usb0="A00002FF" w:usb1="7ACF7CFB" w:usb2="0000001E"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- 1 -</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t23LAIAAFU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L0O3bcsAgAAVQQAAA4AAAAAAAAAAQAgAAAANQEAAGRy&#10;cy9lMm9Eb2MueG1sUEsFBgAAAAAGAAYAWQEAANMFAAAAAA==&#10;">
              <v:fill on="f" focussize="0,0"/>
              <v:stroke on="f" weight="0.5pt"/>
              <v:imagedata o:title=""/>
              <o:lock v:ext="edit" aspectratio="f"/>
              <v:textbox inset="0mm,0mm,0mm,0mm" style="mso-fit-shape-to-text:t;">
                <w:txbxContent>
                  <w:p>
                    <w:pPr>
                      <w:pStyle w:val="12"/>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- 1 -</w:t>
                    </w:r>
                    <w:r>
                      <w:rPr>
                        <w:rFonts w:ascii="Times New Roman" w:hAnsi="Times New Roman" w:cs="Times New Roman"/>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323"/>
    <w:rsid w:val="00003C55"/>
    <w:rsid w:val="00015B4A"/>
    <w:rsid w:val="0002382E"/>
    <w:rsid w:val="00025637"/>
    <w:rsid w:val="0004005D"/>
    <w:rsid w:val="00052D05"/>
    <w:rsid w:val="000544C4"/>
    <w:rsid w:val="000627CF"/>
    <w:rsid w:val="00065B9D"/>
    <w:rsid w:val="00093690"/>
    <w:rsid w:val="000B56CA"/>
    <w:rsid w:val="000C1E64"/>
    <w:rsid w:val="000C7CA6"/>
    <w:rsid w:val="000F4601"/>
    <w:rsid w:val="00101B61"/>
    <w:rsid w:val="00107972"/>
    <w:rsid w:val="001138CB"/>
    <w:rsid w:val="00144A4A"/>
    <w:rsid w:val="00152633"/>
    <w:rsid w:val="0015365D"/>
    <w:rsid w:val="00155CB5"/>
    <w:rsid w:val="00165A57"/>
    <w:rsid w:val="001B3E09"/>
    <w:rsid w:val="001D1950"/>
    <w:rsid w:val="001D3ED3"/>
    <w:rsid w:val="001D734B"/>
    <w:rsid w:val="0022564A"/>
    <w:rsid w:val="00225C67"/>
    <w:rsid w:val="0024002D"/>
    <w:rsid w:val="002558C8"/>
    <w:rsid w:val="00257BBB"/>
    <w:rsid w:val="00262F5A"/>
    <w:rsid w:val="002769D5"/>
    <w:rsid w:val="00280DDB"/>
    <w:rsid w:val="002B08F0"/>
    <w:rsid w:val="002C119D"/>
    <w:rsid w:val="002D4FDF"/>
    <w:rsid w:val="002E7C14"/>
    <w:rsid w:val="00310825"/>
    <w:rsid w:val="00314195"/>
    <w:rsid w:val="00325F66"/>
    <w:rsid w:val="00354FEF"/>
    <w:rsid w:val="003555CA"/>
    <w:rsid w:val="00357B32"/>
    <w:rsid w:val="003B1CAD"/>
    <w:rsid w:val="003D34C6"/>
    <w:rsid w:val="003D4FA2"/>
    <w:rsid w:val="003E4C13"/>
    <w:rsid w:val="004122D7"/>
    <w:rsid w:val="004171F1"/>
    <w:rsid w:val="00435AAD"/>
    <w:rsid w:val="00442846"/>
    <w:rsid w:val="00453246"/>
    <w:rsid w:val="00461993"/>
    <w:rsid w:val="00475444"/>
    <w:rsid w:val="00475DCB"/>
    <w:rsid w:val="004849AD"/>
    <w:rsid w:val="004950E8"/>
    <w:rsid w:val="004B488D"/>
    <w:rsid w:val="004B7E03"/>
    <w:rsid w:val="004F366A"/>
    <w:rsid w:val="00515DD8"/>
    <w:rsid w:val="00516EED"/>
    <w:rsid w:val="0053711A"/>
    <w:rsid w:val="00541155"/>
    <w:rsid w:val="005415D7"/>
    <w:rsid w:val="005A0F4A"/>
    <w:rsid w:val="005C06DD"/>
    <w:rsid w:val="005D22F5"/>
    <w:rsid w:val="005D5CA0"/>
    <w:rsid w:val="005F2635"/>
    <w:rsid w:val="00603B0F"/>
    <w:rsid w:val="00610972"/>
    <w:rsid w:val="006219A4"/>
    <w:rsid w:val="00637329"/>
    <w:rsid w:val="0065008C"/>
    <w:rsid w:val="00652491"/>
    <w:rsid w:val="006629B5"/>
    <w:rsid w:val="00667BEF"/>
    <w:rsid w:val="006820D3"/>
    <w:rsid w:val="00686D0B"/>
    <w:rsid w:val="006A6E79"/>
    <w:rsid w:val="006B3736"/>
    <w:rsid w:val="007061E6"/>
    <w:rsid w:val="007513C5"/>
    <w:rsid w:val="007A7ACD"/>
    <w:rsid w:val="007C4777"/>
    <w:rsid w:val="007E25C1"/>
    <w:rsid w:val="007E6453"/>
    <w:rsid w:val="00815808"/>
    <w:rsid w:val="008170EA"/>
    <w:rsid w:val="008203DE"/>
    <w:rsid w:val="00824824"/>
    <w:rsid w:val="00825358"/>
    <w:rsid w:val="00841323"/>
    <w:rsid w:val="0086260C"/>
    <w:rsid w:val="008669AE"/>
    <w:rsid w:val="0087430B"/>
    <w:rsid w:val="008A7B80"/>
    <w:rsid w:val="008B4EF7"/>
    <w:rsid w:val="008B7817"/>
    <w:rsid w:val="008C121C"/>
    <w:rsid w:val="008C5276"/>
    <w:rsid w:val="008D11F1"/>
    <w:rsid w:val="008D64EA"/>
    <w:rsid w:val="008F209A"/>
    <w:rsid w:val="00910E19"/>
    <w:rsid w:val="00923BB2"/>
    <w:rsid w:val="00937AF4"/>
    <w:rsid w:val="00942B16"/>
    <w:rsid w:val="00974C77"/>
    <w:rsid w:val="009841E7"/>
    <w:rsid w:val="00995F58"/>
    <w:rsid w:val="009A6D77"/>
    <w:rsid w:val="009C49D6"/>
    <w:rsid w:val="009D7B3B"/>
    <w:rsid w:val="009E1D14"/>
    <w:rsid w:val="009E758F"/>
    <w:rsid w:val="00A15C53"/>
    <w:rsid w:val="00A1602E"/>
    <w:rsid w:val="00A224B1"/>
    <w:rsid w:val="00A40E17"/>
    <w:rsid w:val="00A50764"/>
    <w:rsid w:val="00A515E4"/>
    <w:rsid w:val="00A80DDC"/>
    <w:rsid w:val="00A81CCF"/>
    <w:rsid w:val="00A93702"/>
    <w:rsid w:val="00A95E40"/>
    <w:rsid w:val="00AC2F46"/>
    <w:rsid w:val="00AC38DA"/>
    <w:rsid w:val="00AC46AE"/>
    <w:rsid w:val="00AD6E98"/>
    <w:rsid w:val="00AE53B3"/>
    <w:rsid w:val="00B11732"/>
    <w:rsid w:val="00B11AA2"/>
    <w:rsid w:val="00B23D19"/>
    <w:rsid w:val="00B33E86"/>
    <w:rsid w:val="00B40283"/>
    <w:rsid w:val="00B51872"/>
    <w:rsid w:val="00B56026"/>
    <w:rsid w:val="00B605DE"/>
    <w:rsid w:val="00BA2295"/>
    <w:rsid w:val="00BA479F"/>
    <w:rsid w:val="00BB6C95"/>
    <w:rsid w:val="00BC4E47"/>
    <w:rsid w:val="00BD0525"/>
    <w:rsid w:val="00BD1E69"/>
    <w:rsid w:val="00BE0341"/>
    <w:rsid w:val="00BE11AB"/>
    <w:rsid w:val="00BE5A39"/>
    <w:rsid w:val="00BE7881"/>
    <w:rsid w:val="00BF0FB4"/>
    <w:rsid w:val="00C01ADD"/>
    <w:rsid w:val="00C07091"/>
    <w:rsid w:val="00C21457"/>
    <w:rsid w:val="00C21630"/>
    <w:rsid w:val="00C430A5"/>
    <w:rsid w:val="00C710AB"/>
    <w:rsid w:val="00C91838"/>
    <w:rsid w:val="00CB00A4"/>
    <w:rsid w:val="00CB3ABA"/>
    <w:rsid w:val="00CB5C0A"/>
    <w:rsid w:val="00CD7FBE"/>
    <w:rsid w:val="00CE23A3"/>
    <w:rsid w:val="00CE480B"/>
    <w:rsid w:val="00D22B96"/>
    <w:rsid w:val="00D27BBA"/>
    <w:rsid w:val="00D37864"/>
    <w:rsid w:val="00D448A4"/>
    <w:rsid w:val="00D53723"/>
    <w:rsid w:val="00D6011E"/>
    <w:rsid w:val="00D6433A"/>
    <w:rsid w:val="00D83880"/>
    <w:rsid w:val="00D845B7"/>
    <w:rsid w:val="00DA265A"/>
    <w:rsid w:val="00DA416E"/>
    <w:rsid w:val="00DC3FF7"/>
    <w:rsid w:val="00DC69A8"/>
    <w:rsid w:val="00DE7261"/>
    <w:rsid w:val="00E160FA"/>
    <w:rsid w:val="00E16805"/>
    <w:rsid w:val="00E36F20"/>
    <w:rsid w:val="00E436D5"/>
    <w:rsid w:val="00E71DEA"/>
    <w:rsid w:val="00E80704"/>
    <w:rsid w:val="00EA4705"/>
    <w:rsid w:val="00EB1F0B"/>
    <w:rsid w:val="00EC6554"/>
    <w:rsid w:val="00EE5927"/>
    <w:rsid w:val="00EF1953"/>
    <w:rsid w:val="00EF3141"/>
    <w:rsid w:val="00F0314B"/>
    <w:rsid w:val="00F03BCF"/>
    <w:rsid w:val="00F0470D"/>
    <w:rsid w:val="00F16E56"/>
    <w:rsid w:val="00F375DB"/>
    <w:rsid w:val="00F4048A"/>
    <w:rsid w:val="00F571A3"/>
    <w:rsid w:val="00FB6900"/>
    <w:rsid w:val="00FE148D"/>
    <w:rsid w:val="00FE6819"/>
    <w:rsid w:val="00FF56BA"/>
    <w:rsid w:val="01A12744"/>
    <w:rsid w:val="01AC1E97"/>
    <w:rsid w:val="01E15E9C"/>
    <w:rsid w:val="02DE798D"/>
    <w:rsid w:val="04322D1A"/>
    <w:rsid w:val="043A2010"/>
    <w:rsid w:val="04784101"/>
    <w:rsid w:val="05591796"/>
    <w:rsid w:val="060E63B0"/>
    <w:rsid w:val="067D4E24"/>
    <w:rsid w:val="071105A0"/>
    <w:rsid w:val="07BB67DE"/>
    <w:rsid w:val="08A53A5F"/>
    <w:rsid w:val="09092F20"/>
    <w:rsid w:val="09C073A7"/>
    <w:rsid w:val="09D37853"/>
    <w:rsid w:val="0A037FC9"/>
    <w:rsid w:val="0A5627EE"/>
    <w:rsid w:val="0AD62FDD"/>
    <w:rsid w:val="0AE243B2"/>
    <w:rsid w:val="0BAC2EDC"/>
    <w:rsid w:val="0E601E8E"/>
    <w:rsid w:val="0E9E72BA"/>
    <w:rsid w:val="0F1C008B"/>
    <w:rsid w:val="0F861252"/>
    <w:rsid w:val="0FD154E3"/>
    <w:rsid w:val="101C5533"/>
    <w:rsid w:val="104248A6"/>
    <w:rsid w:val="10B62239"/>
    <w:rsid w:val="1118019C"/>
    <w:rsid w:val="114F2396"/>
    <w:rsid w:val="1158205A"/>
    <w:rsid w:val="126B7053"/>
    <w:rsid w:val="12863E8D"/>
    <w:rsid w:val="137A60DE"/>
    <w:rsid w:val="13FE6694"/>
    <w:rsid w:val="1458542B"/>
    <w:rsid w:val="14A560BC"/>
    <w:rsid w:val="157B12CA"/>
    <w:rsid w:val="1633192A"/>
    <w:rsid w:val="167D1693"/>
    <w:rsid w:val="16C65B18"/>
    <w:rsid w:val="18264907"/>
    <w:rsid w:val="19121DAF"/>
    <w:rsid w:val="19E80F89"/>
    <w:rsid w:val="1A005DD5"/>
    <w:rsid w:val="1A495ECC"/>
    <w:rsid w:val="1A4C0948"/>
    <w:rsid w:val="1A916D88"/>
    <w:rsid w:val="1AB723E0"/>
    <w:rsid w:val="1B383EAE"/>
    <w:rsid w:val="1B7156DA"/>
    <w:rsid w:val="1BAC1653"/>
    <w:rsid w:val="1D4535A2"/>
    <w:rsid w:val="1DBE7C4D"/>
    <w:rsid w:val="1E2F6AC2"/>
    <w:rsid w:val="1E7964C4"/>
    <w:rsid w:val="1EAC6A29"/>
    <w:rsid w:val="1EEE2B9E"/>
    <w:rsid w:val="1EF82147"/>
    <w:rsid w:val="1F572E39"/>
    <w:rsid w:val="1FB556A1"/>
    <w:rsid w:val="211C6827"/>
    <w:rsid w:val="22356D36"/>
    <w:rsid w:val="2272152B"/>
    <w:rsid w:val="22E76282"/>
    <w:rsid w:val="24042E63"/>
    <w:rsid w:val="24C543A1"/>
    <w:rsid w:val="25600383"/>
    <w:rsid w:val="25E82BB8"/>
    <w:rsid w:val="27547C5E"/>
    <w:rsid w:val="2758774E"/>
    <w:rsid w:val="28475135"/>
    <w:rsid w:val="28E374EB"/>
    <w:rsid w:val="29F36060"/>
    <w:rsid w:val="2A443FBA"/>
    <w:rsid w:val="2AD720FF"/>
    <w:rsid w:val="2AF53EF6"/>
    <w:rsid w:val="2BF37A45"/>
    <w:rsid w:val="2D3E27BA"/>
    <w:rsid w:val="2ED61261"/>
    <w:rsid w:val="2FAA7255"/>
    <w:rsid w:val="2FAC1FB4"/>
    <w:rsid w:val="30BC1979"/>
    <w:rsid w:val="32270449"/>
    <w:rsid w:val="33D02B95"/>
    <w:rsid w:val="340C3D9A"/>
    <w:rsid w:val="35311149"/>
    <w:rsid w:val="35312AAC"/>
    <w:rsid w:val="36424FDB"/>
    <w:rsid w:val="37130F94"/>
    <w:rsid w:val="39240A54"/>
    <w:rsid w:val="39E84962"/>
    <w:rsid w:val="3AD66EB0"/>
    <w:rsid w:val="3B0C28D2"/>
    <w:rsid w:val="3C63515A"/>
    <w:rsid w:val="3EAF2886"/>
    <w:rsid w:val="3ED81B82"/>
    <w:rsid w:val="3F4D6968"/>
    <w:rsid w:val="3F9904AC"/>
    <w:rsid w:val="3FE7577B"/>
    <w:rsid w:val="402A04C7"/>
    <w:rsid w:val="40F74DCC"/>
    <w:rsid w:val="419B49AF"/>
    <w:rsid w:val="421C61BA"/>
    <w:rsid w:val="42702E6A"/>
    <w:rsid w:val="43571F15"/>
    <w:rsid w:val="439B6772"/>
    <w:rsid w:val="43C94DFE"/>
    <w:rsid w:val="43EE52AD"/>
    <w:rsid w:val="4429503A"/>
    <w:rsid w:val="44CD2D41"/>
    <w:rsid w:val="44F67DF0"/>
    <w:rsid w:val="450C1C37"/>
    <w:rsid w:val="451B69DA"/>
    <w:rsid w:val="4542028B"/>
    <w:rsid w:val="457F1EF2"/>
    <w:rsid w:val="45BC2471"/>
    <w:rsid w:val="46657938"/>
    <w:rsid w:val="46CB75B9"/>
    <w:rsid w:val="47217705"/>
    <w:rsid w:val="475E2B2F"/>
    <w:rsid w:val="48147089"/>
    <w:rsid w:val="49C533F1"/>
    <w:rsid w:val="49FF47A3"/>
    <w:rsid w:val="4B4B2FA2"/>
    <w:rsid w:val="4C753FE1"/>
    <w:rsid w:val="4CAB615D"/>
    <w:rsid w:val="4DE209F4"/>
    <w:rsid w:val="4F0874AE"/>
    <w:rsid w:val="4FCB7361"/>
    <w:rsid w:val="4FDE6C47"/>
    <w:rsid w:val="50463E56"/>
    <w:rsid w:val="50E06415"/>
    <w:rsid w:val="517D49AB"/>
    <w:rsid w:val="522B768A"/>
    <w:rsid w:val="523F3F2F"/>
    <w:rsid w:val="53C12709"/>
    <w:rsid w:val="53FF49A6"/>
    <w:rsid w:val="54251C6B"/>
    <w:rsid w:val="54AD2EFB"/>
    <w:rsid w:val="554A791A"/>
    <w:rsid w:val="555A7235"/>
    <w:rsid w:val="555D465C"/>
    <w:rsid w:val="562F0B0C"/>
    <w:rsid w:val="56EA62B8"/>
    <w:rsid w:val="56F15EAF"/>
    <w:rsid w:val="57EE3633"/>
    <w:rsid w:val="588307E3"/>
    <w:rsid w:val="58842DB1"/>
    <w:rsid w:val="58916326"/>
    <w:rsid w:val="589A10C5"/>
    <w:rsid w:val="594532E7"/>
    <w:rsid w:val="59CB05EB"/>
    <w:rsid w:val="5C5B6DBD"/>
    <w:rsid w:val="5C9F4AD9"/>
    <w:rsid w:val="5D51664B"/>
    <w:rsid w:val="5DCF1811"/>
    <w:rsid w:val="5DFB0858"/>
    <w:rsid w:val="5E3675B9"/>
    <w:rsid w:val="5EB17658"/>
    <w:rsid w:val="5F08322C"/>
    <w:rsid w:val="5F3C0F79"/>
    <w:rsid w:val="5F9E593F"/>
    <w:rsid w:val="619076D9"/>
    <w:rsid w:val="62B06622"/>
    <w:rsid w:val="63327BED"/>
    <w:rsid w:val="643847A7"/>
    <w:rsid w:val="645C1BE0"/>
    <w:rsid w:val="64B438F9"/>
    <w:rsid w:val="65833872"/>
    <w:rsid w:val="65AC66FC"/>
    <w:rsid w:val="65B82FED"/>
    <w:rsid w:val="66DE592A"/>
    <w:rsid w:val="67644E6D"/>
    <w:rsid w:val="67862898"/>
    <w:rsid w:val="67F725EF"/>
    <w:rsid w:val="681945A2"/>
    <w:rsid w:val="68203B3A"/>
    <w:rsid w:val="692E7D33"/>
    <w:rsid w:val="69731BEA"/>
    <w:rsid w:val="69E642A0"/>
    <w:rsid w:val="6E187E34"/>
    <w:rsid w:val="6F5D7020"/>
    <w:rsid w:val="6FBE6FCE"/>
    <w:rsid w:val="6FEB1396"/>
    <w:rsid w:val="705D1338"/>
    <w:rsid w:val="7067059E"/>
    <w:rsid w:val="70DB1D2C"/>
    <w:rsid w:val="71E857EE"/>
    <w:rsid w:val="729F75AC"/>
    <w:rsid w:val="72F5541E"/>
    <w:rsid w:val="736E2403"/>
    <w:rsid w:val="73D61E19"/>
    <w:rsid w:val="73E45B06"/>
    <w:rsid w:val="740F42BD"/>
    <w:rsid w:val="74671F38"/>
    <w:rsid w:val="74D379E1"/>
    <w:rsid w:val="75132944"/>
    <w:rsid w:val="75681F2D"/>
    <w:rsid w:val="756C0B14"/>
    <w:rsid w:val="75711D9F"/>
    <w:rsid w:val="75F76759"/>
    <w:rsid w:val="75FE0332"/>
    <w:rsid w:val="767201AA"/>
    <w:rsid w:val="769F6374"/>
    <w:rsid w:val="76E23F0B"/>
    <w:rsid w:val="772A3384"/>
    <w:rsid w:val="77842ADD"/>
    <w:rsid w:val="782E3B07"/>
    <w:rsid w:val="78427757"/>
    <w:rsid w:val="7905019A"/>
    <w:rsid w:val="79E34305"/>
    <w:rsid w:val="7B735A7A"/>
    <w:rsid w:val="7C55296B"/>
    <w:rsid w:val="7C9E2682"/>
    <w:rsid w:val="7D650249"/>
    <w:rsid w:val="7DB76E0E"/>
    <w:rsid w:val="7DE14F1D"/>
    <w:rsid w:val="7E3037AE"/>
    <w:rsid w:val="7E86184F"/>
    <w:rsid w:val="7EF0118F"/>
    <w:rsid w:val="7F8419E5"/>
    <w:rsid w:val="7FD20351"/>
    <w:rsid w:val="FDB5CF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0"/>
    <w:qFormat/>
    <w:uiPriority w:val="9"/>
    <w:pPr>
      <w:keepNext/>
      <w:keepLines/>
      <w:adjustRightInd w:val="0"/>
      <w:snapToGrid w:val="0"/>
      <w:spacing w:line="560" w:lineRule="exact"/>
      <w:ind w:firstLine="720" w:firstLineChars="200"/>
      <w:outlineLvl w:val="0"/>
    </w:pPr>
    <w:rPr>
      <w:rFonts w:ascii="黑体" w:hAnsi="黑体" w:eastAsia="黑体" w:cstheme="majorBidi"/>
      <w:color w:val="000000" w:themeColor="text1"/>
      <w:sz w:val="32"/>
      <w:szCs w:val="48"/>
      <w14:textFill>
        <w14:solidFill>
          <w14:schemeClr w14:val="tx1"/>
        </w14:solidFill>
      </w14:textFill>
    </w:rPr>
  </w:style>
  <w:style w:type="paragraph" w:styleId="3">
    <w:name w:val="heading 2"/>
    <w:basedOn w:val="1"/>
    <w:next w:val="1"/>
    <w:link w:val="21"/>
    <w:unhideWhenUsed/>
    <w:qFormat/>
    <w:uiPriority w:val="9"/>
    <w:pPr>
      <w:keepNext/>
      <w:keepLines/>
      <w:adjustRightInd w:val="0"/>
      <w:snapToGrid w:val="0"/>
      <w:spacing w:line="560" w:lineRule="exact"/>
      <w:ind w:firstLine="720" w:firstLineChars="200"/>
      <w:outlineLvl w:val="1"/>
    </w:pPr>
    <w:rPr>
      <w:rFonts w:ascii="楷体_GB2312" w:hAnsi="楷体_GB2312" w:eastAsia="楷体_GB2312" w:cstheme="majorBidi"/>
      <w:color w:val="000000" w:themeColor="text1"/>
      <w:sz w:val="32"/>
      <w:szCs w:val="40"/>
      <w14:textFill>
        <w14:solidFill>
          <w14:schemeClr w14:val="tx1"/>
        </w14:solidFill>
      </w14:textFill>
    </w:rPr>
  </w:style>
  <w:style w:type="paragraph" w:styleId="4">
    <w:name w:val="heading 3"/>
    <w:basedOn w:val="1"/>
    <w:next w:val="1"/>
    <w:link w:val="22"/>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5"/>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6"/>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style>
  <w:style w:type="paragraph" w:styleId="12">
    <w:name w:val="footer"/>
    <w:basedOn w:val="1"/>
    <w:link w:val="39"/>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8"/>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0"/>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qFormat/>
    <w:uiPriority w:val="0"/>
    <w:rPr>
      <w:sz w:val="24"/>
    </w:rPr>
  </w:style>
  <w:style w:type="paragraph" w:styleId="16">
    <w:name w:val="Title"/>
    <w:basedOn w:val="1"/>
    <w:next w:val="1"/>
    <w:link w:val="29"/>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标题 1 字符"/>
    <w:basedOn w:val="19"/>
    <w:link w:val="2"/>
    <w:qFormat/>
    <w:uiPriority w:val="9"/>
    <w:rPr>
      <w:rFonts w:ascii="黑体" w:hAnsi="黑体" w:eastAsia="黑体" w:cstheme="majorBidi"/>
      <w:color w:val="000000" w:themeColor="text1"/>
      <w:sz w:val="32"/>
      <w:szCs w:val="48"/>
      <w14:textFill>
        <w14:solidFill>
          <w14:schemeClr w14:val="tx1"/>
        </w14:solidFill>
      </w14:textFill>
    </w:rPr>
  </w:style>
  <w:style w:type="character" w:customStyle="1" w:styleId="21">
    <w:name w:val="标题 2 字符"/>
    <w:basedOn w:val="19"/>
    <w:link w:val="3"/>
    <w:qFormat/>
    <w:uiPriority w:val="9"/>
    <w:rPr>
      <w:rFonts w:ascii="楷体_GB2312" w:hAnsi="楷体_GB2312" w:eastAsia="楷体_GB2312" w:cstheme="majorBidi"/>
      <w:color w:val="000000" w:themeColor="text1"/>
      <w:sz w:val="32"/>
      <w:szCs w:val="40"/>
      <w14:textFill>
        <w14:solidFill>
          <w14:schemeClr w14:val="tx1"/>
        </w14:solidFill>
      </w14:textFill>
    </w:rPr>
  </w:style>
  <w:style w:type="character" w:customStyle="1" w:styleId="22">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9"/>
    <w:link w:val="5"/>
    <w:semiHidden/>
    <w:qFormat/>
    <w:uiPriority w:val="9"/>
    <w:rPr>
      <w:rFonts w:cstheme="majorBidi"/>
      <w:color w:val="104862" w:themeColor="accent1" w:themeShade="BF"/>
      <w:sz w:val="28"/>
      <w:szCs w:val="28"/>
    </w:rPr>
  </w:style>
  <w:style w:type="character" w:customStyle="1" w:styleId="24">
    <w:name w:val="标题 5 字符"/>
    <w:basedOn w:val="19"/>
    <w:link w:val="6"/>
    <w:semiHidden/>
    <w:qFormat/>
    <w:uiPriority w:val="9"/>
    <w:rPr>
      <w:rFonts w:cstheme="majorBidi"/>
      <w:color w:val="104862" w:themeColor="accent1" w:themeShade="BF"/>
      <w:sz w:val="24"/>
    </w:rPr>
  </w:style>
  <w:style w:type="character" w:customStyle="1" w:styleId="25">
    <w:name w:val="标题 6 字符"/>
    <w:basedOn w:val="19"/>
    <w:link w:val="7"/>
    <w:semiHidden/>
    <w:qFormat/>
    <w:uiPriority w:val="9"/>
    <w:rPr>
      <w:rFonts w:cstheme="majorBidi"/>
      <w:b/>
      <w:bCs/>
      <w:color w:val="104862" w:themeColor="accent1" w:themeShade="BF"/>
    </w:rPr>
  </w:style>
  <w:style w:type="character" w:customStyle="1" w:styleId="26">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9"/>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明显强调1"/>
    <w:basedOn w:val="19"/>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9"/>
    <w:link w:val="35"/>
    <w:qFormat/>
    <w:uiPriority w:val="30"/>
    <w:rPr>
      <w:i/>
      <w:iCs/>
      <w:color w:val="104862" w:themeColor="accent1" w:themeShade="BF"/>
    </w:rPr>
  </w:style>
  <w:style w:type="character" w:customStyle="1" w:styleId="37">
    <w:name w:val="明显参考1"/>
    <w:basedOn w:val="19"/>
    <w:qFormat/>
    <w:uiPriority w:val="32"/>
    <w:rPr>
      <w:b/>
      <w:bCs/>
      <w:smallCaps/>
      <w:color w:val="104862" w:themeColor="accent1" w:themeShade="BF"/>
      <w:spacing w:val="5"/>
    </w:rPr>
  </w:style>
  <w:style w:type="character" w:customStyle="1" w:styleId="38">
    <w:name w:val="页眉 字符"/>
    <w:basedOn w:val="19"/>
    <w:link w:val="13"/>
    <w:qFormat/>
    <w:uiPriority w:val="99"/>
    <w:rPr>
      <w:sz w:val="18"/>
      <w:szCs w:val="18"/>
    </w:rPr>
  </w:style>
  <w:style w:type="character" w:customStyle="1" w:styleId="39">
    <w:name w:val="页脚 字符"/>
    <w:basedOn w:val="19"/>
    <w:link w:val="12"/>
    <w:qFormat/>
    <w:uiPriority w:val="99"/>
    <w:rPr>
      <w:sz w:val="18"/>
      <w:szCs w:val="18"/>
    </w:rPr>
  </w:style>
  <w:style w:type="character" w:customStyle="1" w:styleId="40">
    <w:name w:val="ne-text"/>
    <w:basedOn w:val="19"/>
    <w:qFormat/>
    <w:uiPriority w:val="0"/>
  </w:style>
  <w:style w:type="paragraph" w:customStyle="1" w:styleId="41">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2">
    <w:name w:val="修订2"/>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3">
    <w:name w:val="修订3"/>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4">
    <w:name w:val="修订4"/>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5">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388</Words>
  <Characters>433</Characters>
  <Lines>3</Lines>
  <Paragraphs>1</Paragraphs>
  <TotalTime>103</TotalTime>
  <ScaleCrop>false</ScaleCrop>
  <LinksUpToDate>false</LinksUpToDate>
  <CharactersWithSpaces>433</CharactersWithSpaces>
  <Application>WPS Office_11.8.2.12320_F1E327BC-269C-435d-A152-05C5408002CA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2026-06-04T14:03:00Z</dcterms:created>
  <dc:creator>li'wei'nan</dc:creator>
  <cp:lastModifiedBy>gyyh</cp:lastModifiedBy>
  <cp:lastPrinted>2026-07-27T13:42:00Z</cp:lastPrinted>
  <dcterms:modified xsi:type="dcterms:W3CDTF">2026-08-14T15:15:36Z</dcterms:modified>
  <cp:revision>214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eyJoZGlkIjoiYjg0YTUwNjkyNDg5MmRkNGJhZTMwYjk1YjE1ZjJlYjIiLCJ1c2VySWQiOiI0MjMwMTM3OTEifQ==</vt:lpwstr>
  </property>
  <property fmtid="{D5CDD505-2E9C-101B-9397-08002B2CF9AE}" pid="3" name="KSOProductBuildVer">
    <vt:lpwstr>2052-11.8.2.12320</vt:lpwstr>
  </property>
  <property fmtid="{D5CDD505-2E9C-101B-9397-08002B2CF9AE}" pid="4" name="ICV">
    <vt:lpwstr>3FC1186A744D68BD98C07E6A86656B1B</vt:lpwstr>
  </property>
</Properties>
</file>